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9ACB697" w14:paraId="2F2DA27B" wp14:textId="394C8C71">
      <w:pPr>
        <w:spacing w:line="276" w:lineRule="auto"/>
      </w:pPr>
      <w:r w:rsidRPr="09ACB697" w:rsidR="09ACB697">
        <w:rPr>
          <w:rFonts w:ascii="Calibri" w:hAnsi="Calibri" w:eastAsia="Calibri" w:cs="Calibri"/>
          <w:b w:val="1"/>
          <w:bCs w:val="1"/>
          <w:noProof w:val="0"/>
          <w:sz w:val="24"/>
          <w:szCs w:val="24"/>
          <w:lang w:val="nb-NO"/>
        </w:rPr>
        <w:t xml:space="preserve">Henvisning – veien fra bekymring fram til enkeltvedtak og IOP </w:t>
      </w:r>
    </w:p>
    <w:p xmlns:wp14="http://schemas.microsoft.com/office/word/2010/wordml" w:rsidP="09ACB697" w14:paraId="36BF5550" wp14:textId="0B6A969C">
      <w:pPr>
        <w:spacing w:line="276" w:lineRule="auto"/>
      </w:pPr>
      <w:r w:rsidRPr="09ACB697" w:rsidR="09ACB697">
        <w:rPr>
          <w:rFonts w:ascii="Calibri" w:hAnsi="Calibri" w:eastAsia="Calibri" w:cs="Calibri"/>
          <w:b w:val="1"/>
          <w:bCs w:val="1"/>
          <w:noProof w:val="0"/>
          <w:sz w:val="32"/>
          <w:szCs w:val="32"/>
          <w:lang w:val="nb-NO"/>
        </w:rPr>
        <w:t>Rutiner:</w:t>
      </w:r>
    </w:p>
    <w:p xmlns:wp14="http://schemas.microsoft.com/office/word/2010/wordml" w:rsidP="09ACB697" w14:paraId="3BC9F308" wp14:textId="01582E09">
      <w:pPr>
        <w:pStyle w:val="ListParagraph"/>
        <w:numPr>
          <w:ilvl w:val="0"/>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rFonts w:ascii="Calibri" w:hAnsi="Calibri" w:eastAsia="Calibri" w:cs="Calibri"/>
          <w:noProof w:val="0"/>
          <w:sz w:val="22"/>
          <w:szCs w:val="22"/>
          <w:lang w:val="nb-NO"/>
        </w:rPr>
        <w:t xml:space="preserve">Når en elev på 1. til 4. trinn står i fare for å bli hengende etter i lesing, skriving eller regning, har skolen plikt til å sette i gang intensiv opplæring,* og følge eleven opp til den når forventet progresjon. Fra 5.-10. trinn prøver en med tiltak innenfor tilpasset opplæring. </w:t>
      </w:r>
    </w:p>
    <w:p xmlns:wp14="http://schemas.microsoft.com/office/word/2010/wordml" w:rsidP="09ACB697" w14:paraId="68B2CAF4" wp14:textId="67F44576">
      <w:pPr>
        <w:pStyle w:val="ListParagraph"/>
        <w:numPr>
          <w:ilvl w:val="0"/>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rFonts w:ascii="Calibri" w:hAnsi="Calibri" w:eastAsia="Calibri" w:cs="Calibri"/>
          <w:noProof w:val="0"/>
          <w:sz w:val="22"/>
          <w:szCs w:val="22"/>
          <w:lang w:val="nb-NO"/>
        </w:rPr>
        <w:t xml:space="preserve">Er kontaktlærer fortsatt bekymret for en elevs læringsutbytte eller sosiale utvikling, blir dette tatt opp med foresatte, og lærer melder dette til </w:t>
      </w:r>
      <w:r w:rsidRPr="09ACB697" w:rsidR="09ACB697">
        <w:rPr>
          <w:rFonts w:ascii="Calibri" w:hAnsi="Calibri" w:eastAsia="Calibri" w:cs="Calibri"/>
          <w:noProof w:val="0"/>
          <w:sz w:val="22"/>
          <w:szCs w:val="22"/>
          <w:lang w:val="nb-NO"/>
        </w:rPr>
        <w:t>spespedkoordinator</w:t>
      </w:r>
      <w:r w:rsidRPr="09ACB697" w:rsidR="09ACB697">
        <w:rPr>
          <w:rFonts w:ascii="Calibri" w:hAnsi="Calibri" w:eastAsia="Calibri" w:cs="Calibri"/>
          <w:noProof w:val="0"/>
          <w:sz w:val="22"/>
          <w:szCs w:val="22"/>
          <w:lang w:val="nb-NO"/>
        </w:rPr>
        <w:t>.</w:t>
      </w:r>
    </w:p>
    <w:p xmlns:wp14="http://schemas.microsoft.com/office/word/2010/wordml" w:rsidP="09ACB697" w14:paraId="12D22448" wp14:textId="65B13471">
      <w:pPr>
        <w:pStyle w:val="ListParagraph"/>
        <w:numPr>
          <w:ilvl w:val="0"/>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rFonts w:ascii="Calibri" w:hAnsi="Calibri" w:eastAsia="Calibri" w:cs="Calibri"/>
          <w:noProof w:val="0"/>
          <w:sz w:val="22"/>
          <w:szCs w:val="22"/>
          <w:lang w:val="nb-NO"/>
        </w:rPr>
        <w:t xml:space="preserve">Kontaktlærer skal i samarbeid med </w:t>
      </w:r>
      <w:proofErr w:type="spellStart"/>
      <w:r w:rsidRPr="09ACB697" w:rsidR="09ACB697">
        <w:rPr>
          <w:rFonts w:ascii="Calibri" w:hAnsi="Calibri" w:eastAsia="Calibri" w:cs="Calibri"/>
          <w:noProof w:val="0"/>
          <w:sz w:val="22"/>
          <w:szCs w:val="22"/>
          <w:lang w:val="nb-NO"/>
        </w:rPr>
        <w:t>spespedkoordinator</w:t>
      </w:r>
      <w:proofErr w:type="spellEnd"/>
      <w:r w:rsidRPr="09ACB697" w:rsidR="09ACB697">
        <w:rPr>
          <w:rFonts w:ascii="Calibri" w:hAnsi="Calibri" w:eastAsia="Calibri" w:cs="Calibri"/>
          <w:noProof w:val="0"/>
          <w:sz w:val="22"/>
          <w:szCs w:val="22"/>
          <w:lang w:val="nb-NO"/>
        </w:rPr>
        <w:t xml:space="preserve"> vurdere og eventuelt prøve ut tiltak innenfor det ordinære opplæringstilbudet (TPO). Samtidig med utprøvingen dokumenteres tiltakene. Sjekk av syn og hørsel bør gjøres nå.</w:t>
      </w:r>
      <w:r>
        <w:br/>
      </w:r>
      <w:r w:rsidRPr="09ACB697" w:rsidR="09ACB697">
        <w:rPr>
          <w:noProof w:val="0"/>
          <w:lang w:val="nb-NO"/>
        </w:rPr>
        <w:t xml:space="preserve">Hvis tiltakene ikke er tilstrekkelige, snakker kontaktlærer med elev og foresatte og fyller ut skjemaet «Melding ressursteam». </w:t>
      </w:r>
      <w:r w:rsidRPr="09ACB697" w:rsidR="09ACB697">
        <w:rPr>
          <w:noProof w:val="0"/>
          <w:lang w:val="nb-NO"/>
        </w:rPr>
        <w:t>Spespedkoordinator</w:t>
      </w:r>
      <w:r w:rsidRPr="09ACB697" w:rsidR="09ACB697">
        <w:rPr>
          <w:noProof w:val="0"/>
          <w:lang w:val="nb-NO"/>
        </w:rPr>
        <w:t xml:space="preserve"> tar saken videre til ressursteam. Her legger kontaktlæreren fram problemstillingen og hva man har prøvd ut av tiltak. Foresatte skal være med, og jo eldre eleven er bør en vurdere om han/hun skal være med. Kontaktlærer sørger for at foresatte underskriver på samtykkeskjema til ressursteam.</w:t>
      </w:r>
    </w:p>
    <w:p xmlns:wp14="http://schemas.microsoft.com/office/word/2010/wordml" w:rsidP="09ACB697" w14:paraId="4143E1F8" wp14:textId="626F30AE">
      <w:pPr>
        <w:pStyle w:val="ListParagraph"/>
        <w:numPr>
          <w:ilvl w:val="0"/>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Dersom ressursteamet har forslag til nye utprøvinger av tiltak gjennomføres disse i tiden frem til neste ressursteam, der saken avsluttes eller tas videre. </w:t>
      </w:r>
    </w:p>
    <w:p xmlns:wp14="http://schemas.microsoft.com/office/word/2010/wordml" w:rsidP="09ACB697" w14:paraId="12FD04FF" wp14:textId="2271111E">
      <w:pPr>
        <w:pStyle w:val="ListParagraph"/>
        <w:numPr>
          <w:ilvl w:val="0"/>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Hvis ikke ressursteam har innvendinger eller forslag til nye utprøvinger, fyller kontaktlærer, i samarbeid med spespedkoordinator, ut henvisningen som sendes til PPT. PPT gjør sin utredning og skriver en sakkyndig vurdering der de kommer med sin anbefaling. </w:t>
      </w:r>
    </w:p>
    <w:p xmlns:wp14="http://schemas.microsoft.com/office/word/2010/wordml" w:rsidP="09ACB697" w14:paraId="215CAF78" wp14:textId="0D6915D4">
      <w:pPr>
        <w:pStyle w:val="ListParagraph"/>
        <w:numPr>
          <w:ilvl w:val="0"/>
          <w:numId w:val="1"/>
        </w:numPr>
        <w:spacing w:line="276" w:lineRule="auto"/>
        <w:rPr>
          <w:rFonts w:ascii="Calibri" w:hAnsi="Calibri" w:eastAsia="Calibri" w:cs="Calibri" w:asciiTheme="minorAscii" w:hAnsiTheme="minorAscii" w:eastAsiaTheme="minorAscii" w:cstheme="minorAscii"/>
          <w:noProof w:val="0"/>
          <w:sz w:val="22"/>
          <w:szCs w:val="22"/>
          <w:lang w:val="nb-NO"/>
        </w:rPr>
      </w:pPr>
      <w:r w:rsidRPr="09ACB697" w:rsidR="09ACB697">
        <w:rPr>
          <w:rFonts w:ascii="Calibri" w:hAnsi="Calibri" w:eastAsia="Calibri" w:cs="Calibri"/>
          <w:noProof w:val="0"/>
          <w:sz w:val="22"/>
          <w:szCs w:val="22"/>
          <w:lang w:val="nb-NO"/>
        </w:rPr>
        <w:t xml:space="preserve">PPT innkaller til et samarbeidsmøte med foresatte og skolen før sakkyndig vurdering ferdigstilles. Hvis foresatte er enige </w:t>
      </w:r>
      <w:r w:rsidRPr="09ACB697" w:rsidR="09ACB697">
        <w:rPr>
          <w:noProof w:val="0"/>
          <w:lang w:val="nb-NO"/>
        </w:rPr>
        <w:t xml:space="preserve">i anbefalinger i sakkyndig vurdering, ber skolen </w:t>
      </w:r>
      <w:r w:rsidRPr="09ACB697" w:rsidR="09ACB697">
        <w:rPr>
          <w:noProof w:val="0"/>
          <w:lang w:val="nb-NO"/>
        </w:rPr>
        <w:t>om samtykke</w:t>
      </w:r>
      <w:r w:rsidRPr="09ACB697" w:rsidR="09ACB697">
        <w:rPr>
          <w:noProof w:val="0"/>
          <w:lang w:val="nb-NO"/>
        </w:rPr>
        <w:t xml:space="preserve"> til å fatte vedtak i tråd med dette. (Skjema/mal benyttes.)</w:t>
      </w:r>
    </w:p>
    <w:p xmlns:wp14="http://schemas.microsoft.com/office/word/2010/wordml" w:rsidP="09ACB697" w14:paraId="79F58EF6" wp14:textId="3C56178F">
      <w:pPr>
        <w:pStyle w:val="ListParagraph"/>
        <w:numPr>
          <w:ilvl w:val="0"/>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Sakkyndig vurdering danner grunnlag for rektors enkeltvedtak. Vedtaket beskriver omfang og innhold av spesialundervisningen. Rektor skal ta en selvstendig vurdering før enkeltvedtak fattes. I vedtaket skal det vektlegges barns beste og vurderinger knyttet til hva som er den mest hensiktsmessige organisering. Elevens stemme skal høres. Disse momentene vil ofte være aktuelle: </w:t>
      </w:r>
    </w:p>
    <w:p xmlns:wp14="http://schemas.microsoft.com/office/word/2010/wordml" w:rsidP="09ACB697" w14:paraId="26B7C320" wp14:textId="768056AE">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elevens syn på spesialundervisningen </w:t>
      </w:r>
    </w:p>
    <w:p xmlns:wp14="http://schemas.microsoft.com/office/word/2010/wordml" w:rsidP="09ACB697" w14:paraId="3FD9D314" wp14:textId="1E9743C8">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elevens identitet, karaktertrekk og egenskaper </w:t>
      </w:r>
    </w:p>
    <w:p xmlns:wp14="http://schemas.microsoft.com/office/word/2010/wordml" w:rsidP="09ACB697" w14:paraId="23A23184" wp14:textId="4FA007E4">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familiemiljø og nære relasjoner </w:t>
      </w:r>
    </w:p>
    <w:p xmlns:wp14="http://schemas.microsoft.com/office/word/2010/wordml" w:rsidP="09ACB697" w14:paraId="53D88E43" wp14:textId="1B10BA62">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beskyttelse, omsorg og sikkerhet </w:t>
      </w:r>
    </w:p>
    <w:p xmlns:wp14="http://schemas.microsoft.com/office/word/2010/wordml" w:rsidP="09ACB697" w14:paraId="7A871571" wp14:textId="6532FA17">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sårbarhet eller sårbare situasjoner </w:t>
      </w:r>
    </w:p>
    <w:p xmlns:wp14="http://schemas.microsoft.com/office/word/2010/wordml" w:rsidP="09ACB697" w14:paraId="0DAF6E6D" wp14:textId="4275566B">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elevens rett til liv og utvikling </w:t>
      </w:r>
    </w:p>
    <w:p xmlns:wp14="http://schemas.microsoft.com/office/word/2010/wordml" w:rsidP="09ACB697" w14:paraId="3D06E7DB" wp14:textId="0E757CC0">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 xml:space="preserve">elevens fysiske og psykiske helse </w:t>
      </w:r>
    </w:p>
    <w:p xmlns:wp14="http://schemas.microsoft.com/office/word/2010/wordml" w:rsidP="09ACB697" w14:paraId="65A91DBB" wp14:textId="11EDD3F0">
      <w:pPr>
        <w:pStyle w:val="ListParagraph"/>
        <w:numPr>
          <w:ilvl w:val="1"/>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elevens rett til utdanning</w:t>
      </w:r>
    </w:p>
    <w:p xmlns:wp14="http://schemas.microsoft.com/office/word/2010/wordml" w:rsidP="09ACB697" w14:paraId="05022E7E" wp14:textId="50119F52">
      <w:pPr>
        <w:pStyle w:val="ListParagraph"/>
        <w:numPr>
          <w:ilvl w:val="0"/>
          <w:numId w:val="1"/>
        </w:numPr>
        <w:spacing w:line="276" w:lineRule="auto"/>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Enkeltvedtaket kan foresatte klage på.</w:t>
      </w:r>
    </w:p>
    <w:p xmlns:wp14="http://schemas.microsoft.com/office/word/2010/wordml" w:rsidP="09ACB697" w14:paraId="6045DA23" wp14:textId="599CFCA4">
      <w:pPr>
        <w:pStyle w:val="ListParagraph"/>
        <w:numPr>
          <w:ilvl w:val="0"/>
          <w:numId w:val="1"/>
        </w:numPr>
        <w:rPr>
          <w:rFonts w:ascii="Calibri" w:hAnsi="Calibri" w:eastAsia="Calibri" w:cs="Calibri" w:asciiTheme="minorAscii" w:hAnsiTheme="minorAscii" w:eastAsiaTheme="minorAscii" w:cstheme="minorAscii"/>
          <w:noProof w:val="0"/>
          <w:sz w:val="22"/>
          <w:szCs w:val="22"/>
          <w:lang w:val="nb-NO"/>
        </w:rPr>
      </w:pPr>
      <w:r w:rsidRPr="09ACB697" w:rsidR="09ACB697">
        <w:rPr>
          <w:noProof w:val="0"/>
          <w:lang w:val="nb-NO"/>
        </w:rPr>
        <w:t>Ut fra enkeltvedtak og sakkyndig vurdering lager kontaktlærer i samarbeid med den/de som skal ha spesialundervisningen en individuell opplæringsplan (IOP). IOP evalueres fortløpende og årsrapport skrives ved slutten av hvert skoleår. Kontaktlærer er ansvarlig for ferdigstilling av årsrapport.</w:t>
      </w:r>
    </w:p>
    <w:p xmlns:wp14="http://schemas.microsoft.com/office/word/2010/wordml" w:rsidP="09ACB697" w14:paraId="683519D6" wp14:textId="245B9DC8">
      <w:pPr>
        <w:pStyle w:val="ListParagraph"/>
        <w:numPr>
          <w:ilvl w:val="0"/>
          <w:numId w:val="1"/>
        </w:numPr>
        <w:spacing w:line="276" w:lineRule="auto"/>
        <w:rPr>
          <w:noProof w:val="0"/>
          <w:sz w:val="18"/>
          <w:szCs w:val="18"/>
          <w:lang w:val="nb-NO"/>
        </w:rPr>
      </w:pPr>
      <w:r w:rsidRPr="09ACB697" w:rsidR="09ACB697">
        <w:rPr>
          <w:rFonts w:ascii="Calibri" w:hAnsi="Calibri" w:eastAsia="Calibri" w:cs="Calibri"/>
          <w:noProof w:val="0"/>
          <w:sz w:val="18"/>
          <w:szCs w:val="18"/>
          <w:lang w:val="nb-NO"/>
        </w:rPr>
        <w:t>*https://www.udir.no/laring-og-trivsel/tilpasset-opplaring/intensiv-opplaring/2/</w:t>
      </w:r>
    </w:p>
    <w:p xmlns:wp14="http://schemas.microsoft.com/office/word/2010/wordml" w:rsidP="09ACB697" w14:paraId="643A4163" wp14:textId="7A2B6682">
      <w:pPr>
        <w:pStyle w:val="ListParagraph"/>
        <w:numPr>
          <w:ilvl w:val="0"/>
          <w:numId w:val="1"/>
        </w:numPr>
        <w:spacing w:line="276" w:lineRule="auto"/>
        <w:rPr>
          <w:noProof w:val="0"/>
          <w:sz w:val="22"/>
          <w:szCs w:val="22"/>
          <w:lang w:val="nb-NO"/>
        </w:rPr>
      </w:pPr>
    </w:p>
    <w:p xmlns:wp14="http://schemas.microsoft.com/office/word/2010/wordml" w:rsidP="09ACB697" w14:paraId="104E3129" wp14:textId="3C75EBC6">
      <w:pPr>
        <w:pStyle w:val="Normal"/>
      </w:pPr>
    </w:p>
    <w:sectPr>
      <w:pgSz w:w="11906" w:h="16838" w:orient="portrait"/>
      <w:pgMar w:top="1440" w:right="1440" w:bottom="1440" w:left="1440" w:header="708" w:footer="708" w:gutter="0"/>
      <w:cols w:space="708"/>
      <w:docGrid w:linePitch="360"/>
      <w:headerReference w:type="default" r:id="R60f038f4deb94bea"/>
      <w:footerReference w:type="default" r:id="R94f5d1a414714e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ACB697" w:rsidTr="09ACB697" w14:paraId="38BA2C52">
      <w:tc>
        <w:tcPr>
          <w:tcW w:w="3005" w:type="dxa"/>
          <w:tcMar/>
        </w:tcPr>
        <w:p w:rsidR="09ACB697" w:rsidP="09ACB697" w:rsidRDefault="09ACB697" w14:paraId="40F3F9AB" w14:textId="36BE6B9E">
          <w:pPr>
            <w:pStyle w:val="Header"/>
            <w:bidi w:val="0"/>
            <w:ind w:left="-115"/>
            <w:jc w:val="left"/>
          </w:pPr>
        </w:p>
      </w:tc>
      <w:tc>
        <w:tcPr>
          <w:tcW w:w="3005" w:type="dxa"/>
          <w:tcMar/>
        </w:tcPr>
        <w:p w:rsidR="09ACB697" w:rsidP="09ACB697" w:rsidRDefault="09ACB697" w14:paraId="0F676C40" w14:textId="7F8D62AD">
          <w:pPr>
            <w:pStyle w:val="Header"/>
            <w:bidi w:val="0"/>
            <w:jc w:val="center"/>
          </w:pPr>
        </w:p>
      </w:tc>
      <w:tc>
        <w:tcPr>
          <w:tcW w:w="3005" w:type="dxa"/>
          <w:tcMar/>
        </w:tcPr>
        <w:p w:rsidR="09ACB697" w:rsidP="09ACB697" w:rsidRDefault="09ACB697" w14:paraId="6BE38F95" w14:textId="6F878EB5">
          <w:pPr>
            <w:pStyle w:val="Header"/>
            <w:bidi w:val="0"/>
            <w:ind w:right="-115"/>
            <w:jc w:val="right"/>
          </w:pPr>
        </w:p>
      </w:tc>
    </w:tr>
  </w:tbl>
  <w:p w:rsidR="09ACB697" w:rsidP="09ACB697" w:rsidRDefault="09ACB697" w14:paraId="4CE4B9CE" w14:textId="15BEB23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09ACB697" w:rsidRDefault="09ACB697" w14:paraId="712A36FD" w14:textId="029F5218"/>
  <w:tbl>
    <w:tblPr>
      <w:tblStyle w:val="PlainTable4"/>
      <w:bidiVisual w:val="0"/>
      <w:tblW w:w="0" w:type="auto"/>
      <w:tblLayout w:type="fixed"/>
      <w:tblLook w:val="06A0" w:firstRow="1" w:lastRow="0" w:firstColumn="1" w:lastColumn="0" w:noHBand="1" w:noVBand="1"/>
    </w:tblPr>
    <w:tblGrid>
      <w:gridCol w:w="9015"/>
    </w:tblGrid>
    <w:tr w:rsidR="09ACB697" w:rsidTr="09ACB697" w14:paraId="11AA2F03">
      <w:tc>
        <w:tcPr>
          <w:cnfStyle w:val="001000000000" w:firstRow="0" w:lastRow="0" w:firstColumn="1" w:lastColumn="0" w:oddVBand="0" w:evenVBand="0" w:oddHBand="0" w:evenHBand="0" w:firstRowFirstColumn="0" w:firstRowLastColumn="0" w:lastRowFirstColumn="0" w:lastRowLastColumn="0"/>
          <w:tcW w:w="9015" w:type="dxa"/>
          <w:tcMar/>
        </w:tcPr>
        <w:tbl>
          <w:tblPr>
            <w:tblStyle w:val="PlainTable4"/>
            <w:bidiVisual w:val="0"/>
            <w:tblW w:w="0" w:type="auto"/>
            <w:tblLayout w:type="fixed"/>
            <w:tblLook w:val="04A0" w:firstRow="1" w:lastRow="0" w:firstColumn="1" w:lastColumn="0" w:noHBand="0" w:noVBand="1"/>
          </w:tblPr>
          <w:tblGrid>
            <w:gridCol w:w="8895"/>
          </w:tblGrid>
          <w:tr w:rsidR="09ACB697" w:rsidTr="09ACB697" w14:paraId="6889DE0A">
            <w:tc>
              <w:tcPr>
                <w:cnfStyle w:val="001000000000" w:firstRow="0" w:lastRow="0" w:firstColumn="1" w:lastColumn="0" w:oddVBand="0" w:evenVBand="0" w:oddHBand="0" w:evenHBand="0" w:firstRowFirstColumn="0" w:firstRowLastColumn="0" w:lastRowFirstColumn="0" w:lastRowLastColumn="0"/>
                <w:tcW w:w="8895" w:type="dxa"/>
                <w:tcMar/>
              </w:tcPr>
              <w:p w:rsidR="09ACB697" w:rsidP="09ACB697" w:rsidRDefault="09ACB697" w14:paraId="586A0489" w14:textId="2DA2DDDC">
                <w:pPr>
                  <w:pStyle w:val="Normal"/>
                  <w:bidi w:val="0"/>
                </w:pPr>
                <w:r w:rsidR="09ACB697">
                  <w:rPr/>
                  <w:t xml:space="preserve">                </w:t>
                </w:r>
                <w:r w:rsidR="09ACB697">
                  <w:drawing>
                    <wp:inline wp14:editId="362E82D0" wp14:anchorId="495CF1C3">
                      <wp:extent cx="2457450" cy="819150"/>
                      <wp:effectExtent l="0" t="0" r="0" b="0"/>
                      <wp:docPr id="198825452" name="" title=""/>
                      <wp:cNvGraphicFramePr>
                        <a:graphicFrameLocks noChangeAspect="1"/>
                      </wp:cNvGraphicFramePr>
                      <a:graphic>
                        <a:graphicData uri="http://schemas.openxmlformats.org/drawingml/2006/picture">
                          <pic:pic>
                            <pic:nvPicPr>
                              <pic:cNvPr id="0" name=""/>
                              <pic:cNvPicPr/>
                            </pic:nvPicPr>
                            <pic:blipFill>
                              <a:blip r:embed="R2c3cfcbde08a4e8d">
                                <a:extLst>
                                  <a:ext xmlns:a="http://schemas.openxmlformats.org/drawingml/2006/main" uri="{28A0092B-C50C-407E-A947-70E740481C1C}">
                                    <a14:useLocalDpi val="0"/>
                                  </a:ext>
                                </a:extLst>
                              </a:blip>
                              <a:stretch>
                                <a:fillRect/>
                              </a:stretch>
                            </pic:blipFill>
                            <pic:spPr>
                              <a:xfrm>
                                <a:off x="0" y="0"/>
                                <a:ext cx="2457450" cy="819150"/>
                              </a:xfrm>
                              <a:prstGeom prst="rect">
                                <a:avLst/>
                              </a:prstGeom>
                            </pic:spPr>
                          </pic:pic>
                        </a:graphicData>
                      </a:graphic>
                    </wp:inline>
                  </w:drawing>
                </w:r>
                <w:r w:rsidR="09ACB697">
                  <w:rPr/>
                  <w:t xml:space="preserve">                                        </w:t>
                </w:r>
                <w:r w:rsidR="09ACB697">
                  <w:drawing>
                    <wp:inline wp14:editId="513060FE" wp14:anchorId="4E330320">
                      <wp:extent cx="630440" cy="814064"/>
                      <wp:effectExtent l="0" t="0" r="0" b="0"/>
                      <wp:docPr id="1385517445" name="" title=""/>
                      <wp:cNvGraphicFramePr>
                        <a:graphicFrameLocks noChangeAspect="1"/>
                      </wp:cNvGraphicFramePr>
                      <a:graphic>
                        <a:graphicData uri="http://schemas.openxmlformats.org/drawingml/2006/picture">
                          <pic:pic>
                            <pic:nvPicPr>
                              <pic:cNvPr id="0" name=""/>
                              <pic:cNvPicPr/>
                            </pic:nvPicPr>
                            <pic:blipFill>
                              <a:blip r:embed="Re343874429d74b6e">
                                <a:extLst>
                                  <a:ext xmlns:a="http://schemas.openxmlformats.org/drawingml/2006/main" uri="{28A0092B-C50C-407E-A947-70E740481C1C}">
                                    <a14:useLocalDpi val="0"/>
                                  </a:ext>
                                </a:extLst>
                              </a:blip>
                              <a:stretch>
                                <a:fillRect/>
                              </a:stretch>
                            </pic:blipFill>
                            <pic:spPr>
                              <a:xfrm>
                                <a:off x="0" y="0"/>
                                <a:ext cx="630440" cy="814064"/>
                              </a:xfrm>
                              <a:prstGeom prst="rect">
                                <a:avLst/>
                              </a:prstGeom>
                            </pic:spPr>
                          </pic:pic>
                        </a:graphicData>
                      </a:graphic>
                    </wp:inline>
                  </w:drawing>
                </w:r>
              </w:p>
            </w:tc>
          </w:tr>
        </w:tbl>
        <w:p w:rsidR="09ACB697" w:rsidP="09ACB697" w:rsidRDefault="09ACB697" w14:paraId="7131DE1E" w14:textId="18BFACE8">
          <w:pPr>
            <w:pStyle w:val="Normal"/>
            <w:bidi w:val="0"/>
          </w:pPr>
          <w:r>
            <w:br/>
          </w:r>
        </w:p>
      </w:tc>
    </w:tr>
  </w:tbl>
  <w:p w:rsidR="09ACB697" w:rsidP="09ACB697" w:rsidRDefault="09ACB697" w14:paraId="4AD51102" w14:textId="3DB4F5DE">
    <w:pPr>
      <w:pStyle w:val="Header"/>
      <w:bidi w:val="0"/>
    </w:pPr>
  </w:p>
</w:hdr>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112032"/>
    <w:rsid w:val="02112032"/>
    <w:rsid w:val="03D8758F"/>
    <w:rsid w:val="0680FE6F"/>
    <w:rsid w:val="09ACB697"/>
    <w:rsid w:val="0A227446"/>
    <w:rsid w:val="2066473C"/>
    <w:rsid w:val="210CB67B"/>
    <w:rsid w:val="2772123B"/>
    <w:rsid w:val="4272BEA8"/>
    <w:rsid w:val="4FEF6A55"/>
    <w:rsid w:val="5550225A"/>
    <w:rsid w:val="56EBF2BB"/>
    <w:rsid w:val="5887C31C"/>
    <w:rsid w:val="5C49C0FB"/>
    <w:rsid w:val="5DE5915C"/>
    <w:rsid w:val="5DE5915C"/>
    <w:rsid w:val="6CB0223E"/>
    <w:rsid w:val="7A4ABB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2032"/>
  <w15:chartTrackingRefBased/>
  <w15:docId w15:val="{35AAFD18-2DB1-4D53-91DE-2DA137CC5B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f038f4deb94bea" /><Relationship Type="http://schemas.openxmlformats.org/officeDocument/2006/relationships/footer" Target="footer.xml" Id="R94f5d1a414714e00" /><Relationship Type="http://schemas.openxmlformats.org/officeDocument/2006/relationships/numbering" Target="numbering.xml" Id="R2a2ca59ae5954f3d" /></Relationships>
</file>

<file path=word/_rels/header.xml.rels>&#65279;<?xml version="1.0" encoding="utf-8"?><Relationships xmlns="http://schemas.openxmlformats.org/package/2006/relationships"><Relationship Type="http://schemas.openxmlformats.org/officeDocument/2006/relationships/image" Target="/media/image.png" Id="R2c3cfcbde08a4e8d" /><Relationship Type="http://schemas.openxmlformats.org/officeDocument/2006/relationships/image" Target="/media/image2.png" Id="Re343874429d74b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2022-05-20T07:27:30.7739683Z</dcterms:created>
  <dcterms:modified xsi:type="dcterms:W3CDTF">2022-05-20T08:04:09.6203768Z</dcterms:modified>
  <dc:creator>Tomter, Liv Benedikte Damsgård</dc:creator>
  <lastModifiedBy>Tomter, Liv Benedikte Damsgård</lastModifiedBy>
</coreProperties>
</file>